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06E" w:rsidRDefault="009C3DD1" w:rsidP="00D738ED">
      <w:pPr>
        <w:ind w:left="720" w:firstLine="360"/>
        <w:jc w:val="both"/>
        <w:outlineLvl w:val="0"/>
        <w:rPr>
          <w:b/>
          <w:sz w:val="24"/>
          <w:u w:val="single"/>
        </w:rPr>
      </w:pPr>
      <w:r w:rsidRPr="009C3DD1">
        <w:rPr>
          <w:b/>
          <w:sz w:val="24"/>
          <w:u w:val="single"/>
        </w:rPr>
        <w:t>NOTES ON ACCOUNTS</w:t>
      </w:r>
    </w:p>
    <w:p w:rsidR="00F7006E" w:rsidRPr="00304A58" w:rsidRDefault="00F7006E" w:rsidP="00994D7E">
      <w:pPr>
        <w:pStyle w:val="ListParagraph"/>
        <w:numPr>
          <w:ilvl w:val="0"/>
          <w:numId w:val="4"/>
        </w:numPr>
        <w:ind w:left="1440"/>
        <w:jc w:val="both"/>
        <w:rPr>
          <w:sz w:val="24"/>
        </w:rPr>
      </w:pPr>
      <w:r w:rsidRPr="00F7006E">
        <w:rPr>
          <w:sz w:val="24"/>
        </w:rPr>
        <w:t xml:space="preserve">Based on the Joint Venture </w:t>
      </w:r>
      <w:r>
        <w:rPr>
          <w:sz w:val="24"/>
        </w:rPr>
        <w:t xml:space="preserve">Agreement (JVA) dated 24.07.2008 between </w:t>
      </w:r>
      <w:r w:rsidR="00C625F1">
        <w:rPr>
          <w:sz w:val="24"/>
        </w:rPr>
        <w:t>Kerala Industrial Infrastructure Development Corporation (hereinafter called “</w:t>
      </w:r>
      <w:r>
        <w:rPr>
          <w:sz w:val="24"/>
        </w:rPr>
        <w:t>KINFRA</w:t>
      </w:r>
      <w:r w:rsidR="00C625F1">
        <w:rPr>
          <w:sz w:val="24"/>
        </w:rPr>
        <w:t>”)</w:t>
      </w:r>
      <w:r>
        <w:rPr>
          <w:sz w:val="24"/>
        </w:rPr>
        <w:t xml:space="preserve">, </w:t>
      </w:r>
      <w:r w:rsidR="00304A58">
        <w:rPr>
          <w:sz w:val="24"/>
        </w:rPr>
        <w:t>KINFRA Export Promotion Industrial Parks Limited (</w:t>
      </w:r>
      <w:r w:rsidR="00C625F1">
        <w:rPr>
          <w:sz w:val="24"/>
        </w:rPr>
        <w:t>hereinafter called  “</w:t>
      </w:r>
      <w:r>
        <w:rPr>
          <w:sz w:val="24"/>
        </w:rPr>
        <w:t>KEPIP</w:t>
      </w:r>
      <w:r w:rsidR="00C625F1">
        <w:rPr>
          <w:sz w:val="24"/>
        </w:rPr>
        <w:t>”</w:t>
      </w:r>
      <w:r w:rsidR="00304A58">
        <w:rPr>
          <w:sz w:val="24"/>
        </w:rPr>
        <w:t>)</w:t>
      </w:r>
      <w:r>
        <w:rPr>
          <w:sz w:val="24"/>
        </w:rPr>
        <w:t>&amp;</w:t>
      </w:r>
      <w:r w:rsidR="00304A58">
        <w:rPr>
          <w:sz w:val="24"/>
        </w:rPr>
        <w:t>NTPC Electric Supply Company Ltd. (</w:t>
      </w:r>
      <w:r w:rsidR="00C625F1">
        <w:rPr>
          <w:sz w:val="24"/>
        </w:rPr>
        <w:t>hereinafter called “</w:t>
      </w:r>
      <w:r w:rsidR="00304A58">
        <w:rPr>
          <w:sz w:val="24"/>
        </w:rPr>
        <w:t>NESCL</w:t>
      </w:r>
      <w:r w:rsidR="00C625F1">
        <w:rPr>
          <w:sz w:val="24"/>
        </w:rPr>
        <w:t>”</w:t>
      </w:r>
      <w:r w:rsidR="00304A58">
        <w:rPr>
          <w:sz w:val="24"/>
        </w:rPr>
        <w:t>)</w:t>
      </w:r>
      <w:r w:rsidR="00304A58" w:rsidRPr="00304A58">
        <w:rPr>
          <w:sz w:val="24"/>
        </w:rPr>
        <w:t>,</w:t>
      </w:r>
      <w:r w:rsidRPr="00304A58">
        <w:rPr>
          <w:sz w:val="24"/>
        </w:rPr>
        <w:t xml:space="preserve"> the entire Electricity Distribution</w:t>
      </w:r>
      <w:r w:rsidR="00F962DB">
        <w:rPr>
          <w:sz w:val="24"/>
        </w:rPr>
        <w:t xml:space="preserve"> Licensee</w:t>
      </w:r>
      <w:r w:rsidRPr="00304A58">
        <w:rPr>
          <w:sz w:val="24"/>
        </w:rPr>
        <w:t xml:space="preserve"> assets of KEPIP (Electricity Division) as shown in the annexure to the agreement in relation to its power distribution </w:t>
      </w:r>
      <w:r w:rsidR="00304A58" w:rsidRPr="00304A58">
        <w:rPr>
          <w:sz w:val="24"/>
        </w:rPr>
        <w:t>business had to</w:t>
      </w:r>
      <w:r w:rsidRPr="00304A58">
        <w:rPr>
          <w:sz w:val="24"/>
        </w:rPr>
        <w:t xml:space="preserve"> be transferred to M/s. KIN</w:t>
      </w:r>
      <w:r w:rsidR="00AD0F90">
        <w:rPr>
          <w:sz w:val="24"/>
        </w:rPr>
        <w:t>E</w:t>
      </w:r>
      <w:r w:rsidRPr="00304A58">
        <w:rPr>
          <w:sz w:val="24"/>
        </w:rPr>
        <w:t>SCO Power an</w:t>
      </w:r>
      <w:r w:rsidR="00C625F1">
        <w:rPr>
          <w:sz w:val="24"/>
        </w:rPr>
        <w:t>d Utilities Private Limited (hereinafter called “KINESCO”</w:t>
      </w:r>
      <w:r w:rsidRPr="00304A58">
        <w:rPr>
          <w:sz w:val="24"/>
        </w:rPr>
        <w:t>) for consideration at the depreciated book value adopting WDV method of charging depreciation</w:t>
      </w:r>
      <w:r w:rsidR="00AD0F90">
        <w:rPr>
          <w:sz w:val="24"/>
        </w:rPr>
        <w:t xml:space="preserve"> under Schedule XIV rates of the Companies Act,1956</w:t>
      </w:r>
      <w:r w:rsidRPr="00304A58">
        <w:rPr>
          <w:sz w:val="24"/>
        </w:rPr>
        <w:t xml:space="preserve">, on the date of transfer, through a separate instrument of transfer on a date which is to be mutually decided. Annexure to the JVA provides for a quantitative list of assets to be transferred to the </w:t>
      </w:r>
      <w:r w:rsidR="00304A58" w:rsidRPr="00304A58">
        <w:rPr>
          <w:sz w:val="24"/>
        </w:rPr>
        <w:t>KINESCO.</w:t>
      </w:r>
      <w:r w:rsidRPr="00304A58">
        <w:rPr>
          <w:sz w:val="24"/>
        </w:rPr>
        <w:t xml:space="preserve"> Agreement for operations (AFO) dated 27.01.2010 entered into by KEPIP with the </w:t>
      </w:r>
      <w:r w:rsidR="00304A58" w:rsidRPr="00304A58">
        <w:rPr>
          <w:sz w:val="24"/>
        </w:rPr>
        <w:t>KINESCO</w:t>
      </w:r>
      <w:r w:rsidRPr="00304A58">
        <w:rPr>
          <w:sz w:val="24"/>
        </w:rPr>
        <w:t xml:space="preserve"> provided for transfer of fixed assets and utilities at the depreciated value</w:t>
      </w:r>
      <w:r w:rsidR="00EF4EAA" w:rsidRPr="00304A58">
        <w:rPr>
          <w:sz w:val="24"/>
        </w:rPr>
        <w:t xml:space="preserve"> as on 31.01.2010</w:t>
      </w:r>
      <w:r w:rsidR="00304A58" w:rsidRPr="00304A58">
        <w:rPr>
          <w:sz w:val="24"/>
        </w:rPr>
        <w:t>.</w:t>
      </w:r>
    </w:p>
    <w:p w:rsidR="00571D79" w:rsidRDefault="00571D79" w:rsidP="00994D7E">
      <w:pPr>
        <w:pStyle w:val="ListParagraph"/>
        <w:ind w:left="1440"/>
        <w:jc w:val="both"/>
        <w:rPr>
          <w:sz w:val="24"/>
        </w:rPr>
      </w:pPr>
    </w:p>
    <w:p w:rsidR="0073738D" w:rsidRDefault="0073738D" w:rsidP="00994D7E">
      <w:pPr>
        <w:pStyle w:val="ListParagraph"/>
        <w:ind w:left="1440"/>
        <w:jc w:val="both"/>
        <w:rPr>
          <w:sz w:val="24"/>
        </w:rPr>
      </w:pPr>
      <w:r>
        <w:rPr>
          <w:sz w:val="24"/>
        </w:rPr>
        <w:t>In lieu of the KSERC order allowing transfer of the electricity distribution assets of KEPIP, operational control of these assets have been ceded with effect from 01.02.2010, from which date KEPIP has ceased to be a Licensee and KINESCO has become the Licensee. Necessary Book Entries have also been passed to give effect to the transfer of assets, since operational control on these assets no longer vests with KEPIP</w:t>
      </w:r>
      <w:r w:rsidR="00571D79">
        <w:rPr>
          <w:sz w:val="24"/>
        </w:rPr>
        <w:t xml:space="preserve"> which is transferred to KINESCO. Customer advances lying with KEPIP have also been transferred to the KINESCO.</w:t>
      </w:r>
    </w:p>
    <w:p w:rsidR="00571D79" w:rsidRPr="00F7006E" w:rsidRDefault="00571D79" w:rsidP="00994D7E">
      <w:pPr>
        <w:pStyle w:val="ListParagraph"/>
        <w:ind w:left="1440"/>
        <w:jc w:val="both"/>
        <w:rPr>
          <w:sz w:val="24"/>
        </w:rPr>
      </w:pPr>
    </w:p>
    <w:p w:rsidR="00B10DF1" w:rsidRDefault="00B10DF1" w:rsidP="00994D7E">
      <w:pPr>
        <w:pStyle w:val="ListParagraph"/>
        <w:numPr>
          <w:ilvl w:val="0"/>
          <w:numId w:val="4"/>
        </w:numPr>
        <w:ind w:left="1440"/>
        <w:jc w:val="both"/>
        <w:rPr>
          <w:sz w:val="24"/>
        </w:rPr>
      </w:pPr>
      <w:r>
        <w:rPr>
          <w:sz w:val="24"/>
        </w:rPr>
        <w:t>The agr</w:t>
      </w:r>
      <w:r w:rsidR="00C625F1">
        <w:rPr>
          <w:sz w:val="24"/>
        </w:rPr>
        <w:t>eement entered into with K</w:t>
      </w:r>
      <w:r w:rsidR="00AD0F90">
        <w:rPr>
          <w:sz w:val="24"/>
        </w:rPr>
        <w:t xml:space="preserve">EPIP, provides </w:t>
      </w:r>
      <w:r w:rsidR="00C625F1">
        <w:rPr>
          <w:sz w:val="24"/>
        </w:rPr>
        <w:t>KINESCO</w:t>
      </w:r>
      <w:r>
        <w:rPr>
          <w:sz w:val="24"/>
        </w:rPr>
        <w:t xml:space="preserve"> with full access to the utilities and assets of KEPIP Electricity Licensee with effect from 01</w:t>
      </w:r>
      <w:r w:rsidRPr="00B10DF1">
        <w:rPr>
          <w:sz w:val="24"/>
          <w:vertAlign w:val="superscript"/>
        </w:rPr>
        <w:t>st</w:t>
      </w:r>
      <w:r>
        <w:rPr>
          <w:sz w:val="24"/>
        </w:rPr>
        <w:t xml:space="preserve"> February 2010.The utilities and fixed assets are to be transferred at book value as on 31.01.2010 through a separate instrument of transfer to be entered on future date. </w:t>
      </w:r>
      <w:r w:rsidR="00F962DB">
        <w:rPr>
          <w:sz w:val="24"/>
        </w:rPr>
        <w:t>T</w:t>
      </w:r>
      <w:r>
        <w:rPr>
          <w:sz w:val="24"/>
        </w:rPr>
        <w:t xml:space="preserve">he Licensee assets and utilities worth Rs. 13.42 crores has been transferred at book value as on 31.01.2010. </w:t>
      </w:r>
      <w:r w:rsidR="00E82010">
        <w:rPr>
          <w:sz w:val="24"/>
        </w:rPr>
        <w:t>The licensee assets taken over has been depreciated at the rates prescribed by KSERC from the</w:t>
      </w:r>
      <w:r>
        <w:rPr>
          <w:sz w:val="24"/>
        </w:rPr>
        <w:t xml:space="preserve"> date of capitalisation in the books of</w:t>
      </w:r>
      <w:r w:rsidR="00E82010">
        <w:rPr>
          <w:sz w:val="24"/>
        </w:rPr>
        <w:t xml:space="preserve"> account of KINESCO</w:t>
      </w:r>
      <w:r>
        <w:rPr>
          <w:sz w:val="24"/>
        </w:rPr>
        <w:t xml:space="preserve">. </w:t>
      </w:r>
      <w:r w:rsidR="00AD0F90">
        <w:rPr>
          <w:sz w:val="24"/>
        </w:rPr>
        <w:t>Eventhough KINESCO has provided depreciation on Rs.13.42 Crores</w:t>
      </w:r>
      <w:r w:rsidR="00751C29">
        <w:rPr>
          <w:sz w:val="24"/>
        </w:rPr>
        <w:t xml:space="preserve"> in the books of accounts</w:t>
      </w:r>
      <w:r w:rsidR="00AD0F90">
        <w:rPr>
          <w:sz w:val="24"/>
        </w:rPr>
        <w:t xml:space="preserve">, i.e. the </w:t>
      </w:r>
      <w:r w:rsidR="00B23FDE">
        <w:rPr>
          <w:sz w:val="24"/>
        </w:rPr>
        <w:t>value at which the licensee assets were taken over in their books</w:t>
      </w:r>
      <w:r w:rsidR="00AD0F90">
        <w:rPr>
          <w:sz w:val="24"/>
        </w:rPr>
        <w:t xml:space="preserve">, </w:t>
      </w:r>
      <w:r w:rsidR="00F962DB">
        <w:rPr>
          <w:sz w:val="24"/>
        </w:rPr>
        <w:t xml:space="preserve">for the purpose of truing up, </w:t>
      </w:r>
      <w:r w:rsidR="00AD0F90">
        <w:rPr>
          <w:sz w:val="24"/>
        </w:rPr>
        <w:t>KINESCO has considered the depreciation o</w:t>
      </w:r>
      <w:r w:rsidR="00B23FDE">
        <w:rPr>
          <w:sz w:val="24"/>
        </w:rPr>
        <w:t>n</w:t>
      </w:r>
      <w:r w:rsidR="00AD0F90">
        <w:rPr>
          <w:sz w:val="24"/>
        </w:rPr>
        <w:t xml:space="preserve"> Rs.18.02 Crores, which is the WDV of fixed assets of KEPIP as per the </w:t>
      </w:r>
      <w:r w:rsidR="00751C29">
        <w:rPr>
          <w:sz w:val="24"/>
        </w:rPr>
        <w:t xml:space="preserve">truing up petition submitted as per </w:t>
      </w:r>
      <w:r w:rsidR="00AD0F90">
        <w:rPr>
          <w:sz w:val="24"/>
        </w:rPr>
        <w:t xml:space="preserve">KSERC norms as on 31.01.2010. </w:t>
      </w:r>
      <w:r w:rsidR="00AD0F90">
        <w:rPr>
          <w:sz w:val="24"/>
        </w:rPr>
        <w:lastRenderedPageBreak/>
        <w:t>KINESCO has provided depreciation on Rs.18.02 Crores</w:t>
      </w:r>
      <w:r w:rsidR="00B23FDE">
        <w:rPr>
          <w:sz w:val="24"/>
        </w:rPr>
        <w:t>, which is the value of licen</w:t>
      </w:r>
      <w:r w:rsidR="00413A4E">
        <w:rPr>
          <w:sz w:val="24"/>
        </w:rPr>
        <w:t>s</w:t>
      </w:r>
      <w:r w:rsidR="00B23FDE">
        <w:rPr>
          <w:sz w:val="24"/>
        </w:rPr>
        <w:t>ee assets</w:t>
      </w:r>
      <w:r w:rsidR="00751C29">
        <w:rPr>
          <w:sz w:val="24"/>
        </w:rPr>
        <w:t xml:space="preserve"> as on 1</w:t>
      </w:r>
      <w:r w:rsidR="00827A8D" w:rsidRPr="00827A8D">
        <w:rPr>
          <w:sz w:val="24"/>
          <w:vertAlign w:val="superscript"/>
        </w:rPr>
        <w:t>st</w:t>
      </w:r>
      <w:r w:rsidR="00751C29">
        <w:rPr>
          <w:sz w:val="24"/>
        </w:rPr>
        <w:t xml:space="preserve"> of February </w:t>
      </w:r>
      <w:proofErr w:type="gramStart"/>
      <w:r w:rsidR="00751C29">
        <w:rPr>
          <w:sz w:val="24"/>
        </w:rPr>
        <w:t xml:space="preserve">2010 </w:t>
      </w:r>
      <w:r w:rsidR="00B23FDE">
        <w:rPr>
          <w:sz w:val="24"/>
        </w:rPr>
        <w:t>,</w:t>
      </w:r>
      <w:proofErr w:type="gramEnd"/>
      <w:r w:rsidR="00AD0F90">
        <w:rPr>
          <w:sz w:val="24"/>
        </w:rPr>
        <w:t xml:space="preserve"> since the license has been transferred from KEPIP to KINESCO as per KSERC norms</w:t>
      </w:r>
      <w:r w:rsidR="00B23FDE">
        <w:rPr>
          <w:sz w:val="24"/>
        </w:rPr>
        <w:t xml:space="preserve"> and </w:t>
      </w:r>
      <w:r w:rsidR="00AD0F90">
        <w:rPr>
          <w:sz w:val="24"/>
        </w:rPr>
        <w:t>the license continues to exist.</w:t>
      </w:r>
    </w:p>
    <w:p w:rsidR="00413A4E" w:rsidRPr="00994D7E" w:rsidRDefault="00F962DB" w:rsidP="00994D7E">
      <w:pPr>
        <w:pStyle w:val="ListParagraph"/>
        <w:numPr>
          <w:ilvl w:val="0"/>
          <w:numId w:val="4"/>
        </w:numPr>
        <w:ind w:left="1440"/>
        <w:jc w:val="both"/>
        <w:rPr>
          <w:sz w:val="24"/>
        </w:rPr>
      </w:pPr>
      <w:r w:rsidRPr="00F962DB">
        <w:rPr>
          <w:sz w:val="24"/>
        </w:rPr>
        <w:t>A fixed Asset addition of Rs.82.45 lakhs has been considered</w:t>
      </w:r>
      <w:r w:rsidR="00E12156">
        <w:rPr>
          <w:sz w:val="24"/>
        </w:rPr>
        <w:t xml:space="preserve"> during the year 2010-11</w:t>
      </w:r>
      <w:r w:rsidRPr="00F962DB">
        <w:rPr>
          <w:sz w:val="24"/>
        </w:rPr>
        <w:t xml:space="preserve"> in the truing up petition which was not reflected in the books of accounts o</w:t>
      </w:r>
      <w:r w:rsidR="00751C29">
        <w:rPr>
          <w:sz w:val="24"/>
        </w:rPr>
        <w:t>f</w:t>
      </w:r>
      <w:r w:rsidRPr="00F962DB">
        <w:rPr>
          <w:sz w:val="24"/>
        </w:rPr>
        <w:t xml:space="preserve">Kinesco on account of transfer of internal power distribution system from KEPIP.  This asset was transferred from the books of accounts of KEPIP in 2010-11 itself whereas the addition was reflected in the books of accounts of </w:t>
      </w:r>
      <w:proofErr w:type="gramStart"/>
      <w:r w:rsidRPr="00F962DB">
        <w:rPr>
          <w:sz w:val="24"/>
        </w:rPr>
        <w:t>KINESCO</w:t>
      </w:r>
      <w:r w:rsidR="00751C29">
        <w:rPr>
          <w:sz w:val="24"/>
        </w:rPr>
        <w:t xml:space="preserve">only </w:t>
      </w:r>
      <w:r w:rsidRPr="00F962DB">
        <w:rPr>
          <w:sz w:val="24"/>
        </w:rPr>
        <w:t xml:space="preserve"> in</w:t>
      </w:r>
      <w:r w:rsidR="00751C29">
        <w:rPr>
          <w:sz w:val="24"/>
        </w:rPr>
        <w:t>the</w:t>
      </w:r>
      <w:proofErr w:type="gramEnd"/>
      <w:r w:rsidR="00751C29">
        <w:rPr>
          <w:sz w:val="24"/>
        </w:rPr>
        <w:t xml:space="preserve"> financial year </w:t>
      </w:r>
      <w:r w:rsidRPr="00F962DB">
        <w:rPr>
          <w:sz w:val="24"/>
        </w:rPr>
        <w:t>2012-13.</w:t>
      </w:r>
    </w:p>
    <w:p w:rsidR="00EB30C7" w:rsidRPr="00994D7E" w:rsidRDefault="00F962DB" w:rsidP="00994D7E">
      <w:pPr>
        <w:pStyle w:val="ListParagraph"/>
        <w:numPr>
          <w:ilvl w:val="0"/>
          <w:numId w:val="4"/>
        </w:numPr>
        <w:ind w:left="1440"/>
        <w:jc w:val="both"/>
        <w:rPr>
          <w:sz w:val="24"/>
        </w:rPr>
      </w:pPr>
      <w:r w:rsidRPr="00F962DB">
        <w:rPr>
          <w:sz w:val="24"/>
        </w:rPr>
        <w:t>An addition</w:t>
      </w:r>
      <w:r w:rsidR="009B3A7B">
        <w:rPr>
          <w:sz w:val="24"/>
        </w:rPr>
        <w:t xml:space="preserve">of </w:t>
      </w:r>
      <w:r w:rsidRPr="00F962DB">
        <w:rPr>
          <w:sz w:val="24"/>
        </w:rPr>
        <w:t>fixed asset of Rs.30.82 lakhs has been reflected in the books of accounts</w:t>
      </w:r>
      <w:r w:rsidR="009B3A7B">
        <w:rPr>
          <w:sz w:val="24"/>
        </w:rPr>
        <w:t xml:space="preserve"> of KINESCO on account of a clerical error</w:t>
      </w:r>
      <w:r w:rsidRPr="00F962DB">
        <w:rPr>
          <w:sz w:val="24"/>
        </w:rPr>
        <w:t>. It may be noted that the fixed asset addition has been reversed in the book</w:t>
      </w:r>
      <w:r w:rsidR="00BC4258">
        <w:rPr>
          <w:sz w:val="24"/>
        </w:rPr>
        <w:t>s of accounts of Kinesco in 2014-15</w:t>
      </w:r>
      <w:r w:rsidRPr="00F962DB">
        <w:rPr>
          <w:sz w:val="24"/>
        </w:rPr>
        <w:t xml:space="preserve"> on account of </w:t>
      </w:r>
      <w:r>
        <w:rPr>
          <w:sz w:val="24"/>
        </w:rPr>
        <w:t>dupl</w:t>
      </w:r>
      <w:r w:rsidRPr="00F962DB">
        <w:rPr>
          <w:sz w:val="24"/>
        </w:rPr>
        <w:t>ication of capitalising the same assets in 2009-10 and 2010-11. Hence the fixed asset addition of Rs.30.82 lakhs has not been considered for the purpose of truing up.</w:t>
      </w:r>
    </w:p>
    <w:p w:rsidR="00A016A2" w:rsidRDefault="00C466C3" w:rsidP="00994D7E">
      <w:pPr>
        <w:pStyle w:val="ListParagraph"/>
        <w:numPr>
          <w:ilvl w:val="0"/>
          <w:numId w:val="4"/>
        </w:numPr>
        <w:ind w:left="1440"/>
        <w:jc w:val="both"/>
        <w:rPr>
          <w:sz w:val="24"/>
        </w:rPr>
      </w:pPr>
      <w:r>
        <w:rPr>
          <w:sz w:val="24"/>
        </w:rPr>
        <w:t xml:space="preserve">The company commenced operations at </w:t>
      </w:r>
      <w:proofErr w:type="spellStart"/>
      <w:r>
        <w:rPr>
          <w:sz w:val="24"/>
        </w:rPr>
        <w:t>Kalamassery</w:t>
      </w:r>
      <w:proofErr w:type="spellEnd"/>
      <w:r>
        <w:rPr>
          <w:sz w:val="24"/>
        </w:rPr>
        <w:t xml:space="preserve"> with effect from 06.02.2011. An agreement for operations at Hi tech park, </w:t>
      </w:r>
      <w:proofErr w:type="spellStart"/>
      <w:r>
        <w:rPr>
          <w:sz w:val="24"/>
        </w:rPr>
        <w:t>Kalamassery</w:t>
      </w:r>
      <w:proofErr w:type="spellEnd"/>
      <w:r>
        <w:rPr>
          <w:sz w:val="24"/>
        </w:rPr>
        <w:t xml:space="preserve"> was signed between KINFRA and KINESCO on 01.09.2011. As per the terms agreed upon, the utilities and assets of KINFRA Hi tech park, </w:t>
      </w:r>
      <w:proofErr w:type="spellStart"/>
      <w:r>
        <w:rPr>
          <w:sz w:val="24"/>
        </w:rPr>
        <w:t>Kalamassery</w:t>
      </w:r>
      <w:proofErr w:type="spellEnd"/>
      <w:r>
        <w:rPr>
          <w:sz w:val="24"/>
        </w:rPr>
        <w:t xml:space="preserve"> including the leasehold rights on the land belonging to KINFRA on which such assets are situated will be transferred and taken over by KINESCO for the purpose of </w:t>
      </w:r>
      <w:bookmarkStart w:id="0" w:name="_GoBack"/>
      <w:bookmarkEnd w:id="0"/>
      <w:r>
        <w:rPr>
          <w:sz w:val="24"/>
        </w:rPr>
        <w:t xml:space="preserve">licensee operations in KINFRA Hi tech park, </w:t>
      </w:r>
      <w:proofErr w:type="spellStart"/>
      <w:r>
        <w:rPr>
          <w:sz w:val="24"/>
        </w:rPr>
        <w:t>Kalamassery</w:t>
      </w:r>
      <w:proofErr w:type="spellEnd"/>
      <w:r>
        <w:rPr>
          <w:sz w:val="24"/>
        </w:rPr>
        <w:t xml:space="preserve"> at the depreciated book value as on 01.09.2011. This includes the 110KV substation/ 11 KV Ring main distribution system(completed but not commissioned), existing already commissioned 11KV/415 V electrical installations of Hi-tech park, </w:t>
      </w:r>
      <w:proofErr w:type="spellStart"/>
      <w:r>
        <w:rPr>
          <w:sz w:val="24"/>
        </w:rPr>
        <w:t>Kalamassery</w:t>
      </w:r>
      <w:proofErr w:type="spellEnd"/>
      <w:r>
        <w:rPr>
          <w:sz w:val="24"/>
        </w:rPr>
        <w:t xml:space="preserve">. </w:t>
      </w:r>
      <w:r w:rsidR="000301D6">
        <w:rPr>
          <w:sz w:val="24"/>
        </w:rPr>
        <w:t>In 2011-12,</w:t>
      </w:r>
      <w:r>
        <w:rPr>
          <w:sz w:val="24"/>
        </w:rPr>
        <w:t xml:space="preserve"> the Company has taken over only the 11KV/415</w:t>
      </w:r>
      <w:r w:rsidR="00EA1AF7">
        <w:rPr>
          <w:sz w:val="24"/>
        </w:rPr>
        <w:t>V</w:t>
      </w:r>
      <w:r>
        <w:rPr>
          <w:sz w:val="24"/>
        </w:rPr>
        <w:t xml:space="preserve"> electrical installations and has added the asset value into its books.</w:t>
      </w:r>
    </w:p>
    <w:p w:rsidR="00BC4258" w:rsidRPr="00BC4258" w:rsidRDefault="00BC4258" w:rsidP="00BC4258">
      <w:pPr>
        <w:pStyle w:val="ListParagraph"/>
        <w:numPr>
          <w:ilvl w:val="0"/>
          <w:numId w:val="4"/>
        </w:numPr>
        <w:ind w:left="1418"/>
        <w:jc w:val="both"/>
        <w:rPr>
          <w:sz w:val="24"/>
        </w:rPr>
      </w:pPr>
      <w:r w:rsidRPr="00133B49">
        <w:rPr>
          <w:sz w:val="24"/>
        </w:rPr>
        <w:t xml:space="preserve">Assets taken over from consumers has been taken into the books of accounts at a nominal value of Rs.1/-. Till 31.03.2013, the consumer </w:t>
      </w:r>
      <w:proofErr w:type="gramStart"/>
      <w:r w:rsidRPr="00133B49">
        <w:rPr>
          <w:sz w:val="24"/>
        </w:rPr>
        <w:t>contribution to fixed assets were</w:t>
      </w:r>
      <w:proofErr w:type="gramEnd"/>
      <w:r w:rsidRPr="00133B49">
        <w:rPr>
          <w:sz w:val="24"/>
        </w:rPr>
        <w:t xml:space="preserve"> being taken into books at fair value which has been reversed in the books of accounts. However, for the purpose of truing up, the consumer surrendered assets has been considered. However the depreciation for the same been excluded for the purpose of arriving at the actual depreciation for the year.</w:t>
      </w:r>
    </w:p>
    <w:p w:rsidR="00413A4E" w:rsidRPr="00994D7E" w:rsidRDefault="00A016A2" w:rsidP="00994D7E">
      <w:pPr>
        <w:pStyle w:val="ListParagraph"/>
        <w:numPr>
          <w:ilvl w:val="0"/>
          <w:numId w:val="4"/>
        </w:numPr>
        <w:ind w:left="1440"/>
        <w:jc w:val="both"/>
        <w:rPr>
          <w:sz w:val="24"/>
        </w:rPr>
      </w:pPr>
      <w:r>
        <w:rPr>
          <w:sz w:val="24"/>
        </w:rPr>
        <w:t>In the opinion of the Directors, the Current Assets, Loans and Advances have the values as stated in the Balance Sheet if realized, in the ordinary course of business.</w:t>
      </w:r>
    </w:p>
    <w:p w:rsidR="00413A4E" w:rsidRPr="00994D7E" w:rsidRDefault="00A016A2" w:rsidP="00994D7E">
      <w:pPr>
        <w:pStyle w:val="ListParagraph"/>
        <w:numPr>
          <w:ilvl w:val="0"/>
          <w:numId w:val="4"/>
        </w:numPr>
        <w:ind w:left="1440"/>
        <w:jc w:val="both"/>
        <w:rPr>
          <w:sz w:val="24"/>
        </w:rPr>
      </w:pPr>
      <w:r>
        <w:rPr>
          <w:sz w:val="24"/>
        </w:rPr>
        <w:t>The balances of sundry debtors, loans and advances and sundry creditors are subject to confirmation/reconciliation.</w:t>
      </w:r>
    </w:p>
    <w:p w:rsidR="005864ED" w:rsidRDefault="00A016A2" w:rsidP="00133B49">
      <w:pPr>
        <w:pStyle w:val="ListParagraph"/>
        <w:numPr>
          <w:ilvl w:val="0"/>
          <w:numId w:val="4"/>
        </w:numPr>
        <w:ind w:left="1440"/>
        <w:jc w:val="both"/>
        <w:rPr>
          <w:sz w:val="24"/>
        </w:rPr>
      </w:pPr>
      <w:r>
        <w:rPr>
          <w:sz w:val="24"/>
        </w:rPr>
        <w:lastRenderedPageBreak/>
        <w:t>Provision for taxation (Income Tax, Fringe Benefit taxes and Deferred Taxes) has been provided under the rules specified in the Income Tax Act and the applicable accounting standards issued by the Institute of Chartered Accountants of India.</w:t>
      </w:r>
    </w:p>
    <w:p w:rsidR="009C3DD1" w:rsidRPr="009C3DD1" w:rsidRDefault="009C3DD1" w:rsidP="00E73777">
      <w:pPr>
        <w:pStyle w:val="ListParagraph"/>
        <w:jc w:val="both"/>
        <w:rPr>
          <w:sz w:val="24"/>
          <w:u w:val="single"/>
        </w:rPr>
      </w:pPr>
    </w:p>
    <w:sectPr w:rsidR="009C3DD1" w:rsidRPr="009C3DD1" w:rsidSect="00E82389">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B51C7"/>
    <w:multiLevelType w:val="hybridMultilevel"/>
    <w:tmpl w:val="8B2A73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E910558"/>
    <w:multiLevelType w:val="hybridMultilevel"/>
    <w:tmpl w:val="B1848A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559E4376"/>
    <w:multiLevelType w:val="hybridMultilevel"/>
    <w:tmpl w:val="8A265B1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575D56EB"/>
    <w:multiLevelType w:val="hybridMultilevel"/>
    <w:tmpl w:val="13A87DD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C3DD1"/>
    <w:rsid w:val="000301D6"/>
    <w:rsid w:val="00133B49"/>
    <w:rsid w:val="001A1C18"/>
    <w:rsid w:val="00304A58"/>
    <w:rsid w:val="00360365"/>
    <w:rsid w:val="003A133B"/>
    <w:rsid w:val="00413A4E"/>
    <w:rsid w:val="00571D79"/>
    <w:rsid w:val="005864ED"/>
    <w:rsid w:val="005D6EAB"/>
    <w:rsid w:val="005E1B41"/>
    <w:rsid w:val="0063397E"/>
    <w:rsid w:val="0073738D"/>
    <w:rsid w:val="00751C29"/>
    <w:rsid w:val="00827A8D"/>
    <w:rsid w:val="00932F6B"/>
    <w:rsid w:val="00934F3F"/>
    <w:rsid w:val="00970400"/>
    <w:rsid w:val="00994D7E"/>
    <w:rsid w:val="009B3A7B"/>
    <w:rsid w:val="009C3DD1"/>
    <w:rsid w:val="00A016A2"/>
    <w:rsid w:val="00A44298"/>
    <w:rsid w:val="00AD0F90"/>
    <w:rsid w:val="00B10DF1"/>
    <w:rsid w:val="00B23FDE"/>
    <w:rsid w:val="00BC4258"/>
    <w:rsid w:val="00C05F94"/>
    <w:rsid w:val="00C466C3"/>
    <w:rsid w:val="00C625F1"/>
    <w:rsid w:val="00D738ED"/>
    <w:rsid w:val="00DB69E3"/>
    <w:rsid w:val="00E12156"/>
    <w:rsid w:val="00E65266"/>
    <w:rsid w:val="00E73777"/>
    <w:rsid w:val="00E82010"/>
    <w:rsid w:val="00E82389"/>
    <w:rsid w:val="00EA1AF7"/>
    <w:rsid w:val="00EB30C7"/>
    <w:rsid w:val="00EE70E7"/>
    <w:rsid w:val="00EF4EAA"/>
    <w:rsid w:val="00F10156"/>
    <w:rsid w:val="00F6155B"/>
    <w:rsid w:val="00F7006E"/>
    <w:rsid w:val="00F962DB"/>
    <w:rsid w:val="00FA69D6"/>
    <w:rsid w:val="00FC598B"/>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3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3DD1"/>
    <w:pPr>
      <w:ind w:left="720"/>
      <w:contextualSpacing/>
    </w:pPr>
  </w:style>
  <w:style w:type="paragraph" w:styleId="DocumentMap">
    <w:name w:val="Document Map"/>
    <w:basedOn w:val="Normal"/>
    <w:link w:val="DocumentMapChar"/>
    <w:uiPriority w:val="99"/>
    <w:semiHidden/>
    <w:unhideWhenUsed/>
    <w:rsid w:val="00AD0F9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D0F90"/>
    <w:rPr>
      <w:rFonts w:ascii="Tahoma" w:hAnsi="Tahoma" w:cs="Tahoma"/>
      <w:sz w:val="16"/>
      <w:szCs w:val="16"/>
    </w:rPr>
  </w:style>
  <w:style w:type="paragraph" w:styleId="BalloonText">
    <w:name w:val="Balloon Text"/>
    <w:basedOn w:val="Normal"/>
    <w:link w:val="BalloonTextChar"/>
    <w:uiPriority w:val="99"/>
    <w:semiHidden/>
    <w:unhideWhenUsed/>
    <w:rsid w:val="00751C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1C29"/>
    <w:rPr>
      <w:rFonts w:ascii="Segoe UI" w:hAnsi="Segoe UI" w:cs="Segoe UI"/>
      <w:sz w:val="18"/>
      <w:szCs w:val="18"/>
    </w:rPr>
  </w:style>
  <w:style w:type="paragraph" w:styleId="Revision">
    <w:name w:val="Revision"/>
    <w:hidden/>
    <w:uiPriority w:val="99"/>
    <w:semiHidden/>
    <w:rsid w:val="00413A4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3</Pages>
  <Words>833</Words>
  <Characters>4753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Anand</cp:lastModifiedBy>
  <cp:revision>19</cp:revision>
  <dcterms:created xsi:type="dcterms:W3CDTF">2016-04-11T07:46:00Z</dcterms:created>
  <dcterms:modified xsi:type="dcterms:W3CDTF">2016-07-18T07:23:00Z</dcterms:modified>
</cp:coreProperties>
</file>